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C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C00000"/>
          <w:spacing w:val="0"/>
          <w:kern w:val="0"/>
          <w:sz w:val="44"/>
          <w:szCs w:val="44"/>
          <w:shd w:val="clear" w:fill="FFFFFF"/>
          <w:lang w:val="en-US" w:eastAsia="zh-CN" w:bidi="ar"/>
        </w:rPr>
        <w:t>岳阳市南湖新区研学资源未来二十年经营权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C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C00000"/>
          <w:spacing w:val="0"/>
          <w:kern w:val="0"/>
          <w:sz w:val="44"/>
          <w:szCs w:val="44"/>
          <w:shd w:val="clear" w:fill="FFFFFF"/>
          <w:lang w:val="en-US" w:eastAsia="zh-CN" w:bidi="ar"/>
        </w:rPr>
        <w:t>拍卖公告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受委托，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通过岳阳市公共资源交易网采取网上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对以下拍卖标的进行公开拍卖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，现将有关事项公告如下：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一、拍卖标的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岳阳市南湖新区研学资源未来二十年经营权。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（拍卖标的详见拍卖资料及评估报告等）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拍卖地点：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岳阳市公共资源交易中心国有产权交易竞价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系统（http://ggzy.yueyang.gov.cn/）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ascii="Calibri" w:hAnsi="Calibri" w:cs="Calibri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网上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时间：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起始时间：2023年1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时；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截止时间：2023年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.限时竞价开始时间：2023年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竞价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起始价: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16500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both"/>
        <w:rPr>
          <w:rFonts w:hint="eastAsia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、标的展示：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自2023年10月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日至2023年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月2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日（工作日9:00-17:00）在岳阳市南湖新区研学项目基地公开展示，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本公司不组织踏勘，竞买人请自行前往坐落地勘查。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六、竞买人资格条件：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1.竞买人应为具备完全民事行为能力的自然人、法人或其它组织。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2.竞买人不得为人民法院失信被执行人和“信用中国”失信行为人以及“国家企业信用公示系统”经营异常或违法失信企业。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2"/>
        <w:jc w:val="left"/>
        <w:rPr>
          <w:rFonts w:ascii="Calibri" w:hAnsi="Calibri" w:cs="Calibr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报名手续的办理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.凡具备上述资格条件的竞买人，请于报名前在岳阳市公共资源交易中心“国有产权交易竞价系统”上完成注册登记，并上传有效证明进行实名认证（个人：居民身份证，个体工商户：营业执照以及经营者身份证，机构：营业证照或单位注册登记证书以及法定代表人/负责人身份证）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2.竞买人请在岳阳市公共资源交易中心“国有产权交易竞价系统”网上申请报名，报名截止时间：2023年12月27日17时。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3.拍卖保证金：人民币 500万元（竞买不成者，于拍卖会后5个工作日内退还）。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4.保证金缴纳：报名后交纳至交易系统推送的保证金账户，由交易系统确认到账后自动获得竞价资格。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5.保证金截止时间：2023年12月27日17时。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2"/>
        <w:jc w:val="both"/>
        <w:rPr>
          <w:rFonts w:ascii="Calibri" w:hAnsi="Calibri" w:cs="Calibr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竞价成交后相关费用的结算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成交后，买受人须来本公司办理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成交手续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并按成交价0.6%的标准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向我公司支付服务佣金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由我公司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按湘发改价费[2019]366号文件规定向岳阳市公共资源交易中心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代缴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交易服务费人民币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九、公司地址：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岳阳市岳阳楼区站前路巴陵尚品10楼1002室，联系方式：13975064888（张经理），0730-8243109（市场监督）。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本公告在“岳阳市公共资源交易网站”、企业微信公众号等媒体同步发布。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righ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湖南晟扬拍卖有限公司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0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2023年10月31日</w:t>
      </w:r>
    </w:p>
    <w:p>
      <w:pPr>
        <w:pStyle w:val="6"/>
        <w:ind w:left="0" w:leftChars="0" w:firstLine="0" w:firstLineChars="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部分研学基地如下表：</w:t>
      </w:r>
      <w:bookmarkStart w:id="0" w:name="_GoBack"/>
      <w:bookmarkEnd w:id="0"/>
    </w:p>
    <w:tbl>
      <w:tblPr>
        <w:tblStyle w:val="15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722"/>
        <w:gridCol w:w="2257"/>
        <w:gridCol w:w="1943"/>
        <w:gridCol w:w="2427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3" w:type="dxa"/>
            <w:textDirection w:val="tbRlV"/>
            <w:vAlign w:val="top"/>
          </w:tcPr>
          <w:p>
            <w:pPr>
              <w:pStyle w:val="14"/>
              <w:spacing w:before="136" w:line="224" w:lineRule="auto"/>
              <w:ind w:left="107"/>
            </w:pPr>
            <w:r>
              <w:rPr>
                <w:spacing w:val="1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2" w:type="dxa"/>
            <w:vAlign w:val="top"/>
          </w:tcPr>
          <w:p>
            <w:pPr>
              <w:pStyle w:val="14"/>
              <w:spacing w:before="81" w:line="241" w:lineRule="auto"/>
              <w:ind w:left="125" w:right="117" w:hanging="2"/>
            </w:pPr>
            <w:r>
              <w:rPr>
                <w:spacing w:val="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研学</w:t>
            </w:r>
            <w:r>
              <w:t xml:space="preserve"> </w:t>
            </w:r>
            <w:r>
              <w:rPr>
                <w:spacing w:val="2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2257" w:type="dxa"/>
            <w:vAlign w:val="top"/>
          </w:tcPr>
          <w:p>
            <w:pPr>
              <w:pStyle w:val="14"/>
              <w:spacing w:before="207" w:line="230" w:lineRule="auto"/>
              <w:ind w:left="579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研学基地名称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206" w:line="231" w:lineRule="auto"/>
              <w:ind w:left="719"/>
            </w:pPr>
            <w:r>
              <w:rPr>
                <w:spacing w:val="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07" w:line="231" w:lineRule="auto"/>
              <w:ind w:left="734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研学主要内容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207" w:line="233" w:lineRule="auto"/>
              <w:ind w:left="439"/>
            </w:pPr>
            <w:r>
              <w:rPr>
                <w:spacing w:val="2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3" w:type="dxa"/>
            <w:vAlign w:val="top"/>
          </w:tcPr>
          <w:p>
            <w:pPr>
              <w:pStyle w:val="14"/>
              <w:spacing w:before="236" w:line="187" w:lineRule="auto"/>
              <w:ind w:left="2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42" w:lineRule="auto"/>
              <w:ind w:left="125" w:right="117" w:firstLine="1"/>
              <w:jc w:val="both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红色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教育</w:t>
            </w:r>
          </w:p>
        </w:tc>
        <w:tc>
          <w:tcPr>
            <w:tcW w:w="2257" w:type="dxa"/>
            <w:vAlign w:val="top"/>
          </w:tcPr>
          <w:p>
            <w:pPr>
              <w:pStyle w:val="14"/>
              <w:spacing w:before="113" w:line="234" w:lineRule="auto"/>
              <w:ind w:left="882" w:right="271" w:hanging="600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红漾南湖党建文化主</w:t>
            </w:r>
            <w:r>
              <w:rPr>
                <w:b/>
                <w:bCs/>
                <w:spacing w:val="5"/>
              </w:rPr>
              <w:t>题公园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113" w:line="234" w:lineRule="auto"/>
              <w:ind w:left="225" w:right="108" w:hanging="97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 xml:space="preserve">南湖新区求索街道 </w:t>
            </w:r>
            <w:r>
              <w:rPr>
                <w:b/>
                <w:bCs/>
                <w:spacing w:val="7"/>
              </w:rPr>
              <w:t>办事处云梦社区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03" w:line="233" w:lineRule="auto"/>
              <w:ind w:left="843"/>
              <w:jc w:val="both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党建+文旅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42" w:lineRule="auto"/>
              <w:ind w:right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  <w:lang w:val="en-US" w:eastAsia="zh-CN"/>
              </w:rPr>
              <w:t xml:space="preserve"> </w:t>
            </w:r>
            <w:r>
              <w:rPr>
                <w:b/>
                <w:bCs/>
                <w:spacing w:val="6"/>
              </w:rPr>
              <w:t>研学基地</w:t>
            </w:r>
            <w:r>
              <w:rPr>
                <w:b/>
                <w:bCs/>
                <w:spacing w:val="-4"/>
              </w:rPr>
              <w:t>申报中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3" w:type="dxa"/>
            <w:vAlign w:val="top"/>
          </w:tcPr>
          <w:p>
            <w:pPr>
              <w:pStyle w:val="14"/>
              <w:spacing w:before="236" w:line="186" w:lineRule="auto"/>
              <w:ind w:left="2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14"/>
              <w:spacing w:before="202" w:line="231" w:lineRule="auto"/>
              <w:ind w:left="583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周令钊艺术馆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202" w:line="231" w:lineRule="auto"/>
              <w:ind w:left="12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南湖新区泄湖阁处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113" w:line="234" w:lineRule="auto"/>
              <w:ind w:left="909" w:right="174" w:hanging="721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文化传承，牢记岳阳的杰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"/>
              </w:rPr>
              <w:t>出艺术家</w:t>
            </w: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93" w:type="dxa"/>
            <w:vAlign w:val="top"/>
          </w:tcPr>
          <w:p>
            <w:pPr>
              <w:spacing w:line="33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186" w:lineRule="auto"/>
              <w:ind w:left="20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14"/>
              <w:spacing w:before="101" w:line="231" w:lineRule="auto"/>
              <w:ind w:left="384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岳阳非遗红色剧场</w:t>
            </w:r>
          </w:p>
          <w:p>
            <w:pPr>
              <w:pStyle w:val="14"/>
              <w:spacing w:before="21" w:line="231" w:lineRule="auto"/>
              <w:ind w:left="361"/>
              <w:jc w:val="both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(属茶博城研学实践</w:t>
            </w:r>
          </w:p>
          <w:p>
            <w:pPr>
              <w:pStyle w:val="14"/>
              <w:spacing w:before="21" w:line="231" w:lineRule="auto"/>
              <w:ind w:left="730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教育基地)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233"/>
              <w:ind w:left="320" w:right="108" w:hanging="192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 xml:space="preserve">南湖新区湖滨大道 </w:t>
            </w:r>
            <w:r>
              <w:rPr>
                <w:b/>
                <w:bCs/>
                <w:spacing w:val="7"/>
              </w:rPr>
              <w:t>西侧茶博城内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33" w:line="241" w:lineRule="auto"/>
              <w:ind w:left="1195" w:right="174" w:hanging="1009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洞庭渔歌等非遗文化教育</w:t>
            </w:r>
            <w:r>
              <w:rPr>
                <w:b/>
                <w:bCs/>
              </w:rPr>
              <w:t>等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101" w:line="231" w:lineRule="auto"/>
              <w:ind w:left="240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岳阳市研</w:t>
            </w:r>
          </w:p>
          <w:p>
            <w:pPr>
              <w:pStyle w:val="14"/>
              <w:spacing w:before="21" w:line="231" w:lineRule="auto"/>
              <w:ind w:left="247"/>
              <w:jc w:val="both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学实践教</w:t>
            </w:r>
          </w:p>
          <w:p>
            <w:pPr>
              <w:pStyle w:val="14"/>
              <w:spacing w:before="21" w:line="231" w:lineRule="auto"/>
              <w:ind w:left="345"/>
              <w:jc w:val="both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育基地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93" w:type="dxa"/>
            <w:vAlign w:val="top"/>
          </w:tcPr>
          <w:p>
            <w:pPr>
              <w:spacing w:line="32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186" w:lineRule="auto"/>
              <w:ind w:left="19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42" w:lineRule="auto"/>
              <w:ind w:left="125" w:right="117" w:firstLine="1"/>
              <w:jc w:val="both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科谱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教育</w:t>
            </w:r>
          </w:p>
        </w:tc>
        <w:tc>
          <w:tcPr>
            <w:tcW w:w="2257" w:type="dxa"/>
            <w:vAlign w:val="top"/>
          </w:tcPr>
          <w:p>
            <w:pPr>
              <w:spacing w:line="28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1" w:line="230" w:lineRule="auto"/>
              <w:ind w:left="287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青葵园研学旅行营地</w:t>
            </w:r>
          </w:p>
        </w:tc>
        <w:tc>
          <w:tcPr>
            <w:tcW w:w="1943" w:type="dxa"/>
            <w:vAlign w:val="top"/>
          </w:tcPr>
          <w:p>
            <w:pPr>
              <w:spacing w:line="28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1" w:lineRule="auto"/>
              <w:ind w:left="12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南湖新区龙山北麓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93" w:line="231" w:lineRule="auto"/>
              <w:ind w:left="188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探索感悟自然生态、科技</w:t>
            </w:r>
          </w:p>
          <w:p>
            <w:pPr>
              <w:pStyle w:val="14"/>
              <w:spacing w:before="21" w:line="231" w:lineRule="auto"/>
              <w:ind w:left="189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创新、劳动教育、励志拓</w:t>
            </w:r>
          </w:p>
          <w:p>
            <w:pPr>
              <w:pStyle w:val="14"/>
              <w:spacing w:before="21" w:line="231" w:lineRule="auto"/>
              <w:ind w:left="688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展、文化传承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93" w:line="232" w:lineRule="auto"/>
              <w:ind w:left="243"/>
              <w:jc w:val="both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湖南省级</w:t>
            </w:r>
          </w:p>
          <w:p>
            <w:pPr>
              <w:pStyle w:val="14"/>
              <w:spacing w:before="20" w:line="230" w:lineRule="auto"/>
              <w:ind w:left="23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研学旅行</w:t>
            </w:r>
          </w:p>
          <w:p>
            <w:pPr>
              <w:pStyle w:val="14"/>
              <w:spacing w:before="23" w:line="238" w:lineRule="auto"/>
              <w:ind w:left="440"/>
              <w:jc w:val="both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93" w:type="dxa"/>
            <w:vAlign w:val="top"/>
          </w:tcPr>
          <w:p>
            <w:pPr>
              <w:spacing w:line="325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185" w:lineRule="auto"/>
              <w:ind w:left="20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spacing w:line="28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1" w:lineRule="auto"/>
              <w:ind w:left="384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岳阳中华大熊猫苑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223" w:line="247" w:lineRule="auto"/>
              <w:ind w:left="836" w:right="108" w:hanging="70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 xml:space="preserve">南湖新区龙山保护 </w:t>
            </w:r>
            <w:r>
              <w:rPr>
                <w:b/>
                <w:bCs/>
              </w:rPr>
              <w:t>区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22" w:line="242" w:lineRule="auto"/>
              <w:ind w:left="290" w:right="174" w:hanging="100"/>
              <w:jc w:val="center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大熊猫饲养、研究以及公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8"/>
              </w:rPr>
              <w:t>众教育和高端科学观察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222" w:line="242" w:lineRule="auto"/>
              <w:ind w:right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  <w:lang w:val="en-US" w:eastAsia="zh-CN"/>
              </w:rPr>
              <w:t xml:space="preserve"> </w:t>
            </w:r>
            <w:r>
              <w:rPr>
                <w:b/>
                <w:bCs/>
                <w:spacing w:val="6"/>
              </w:rPr>
              <w:t>研学基地</w:t>
            </w:r>
            <w:r>
              <w:rPr>
                <w:b/>
                <w:bCs/>
                <w:spacing w:val="-4"/>
              </w:rPr>
              <w:t>申报中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93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186" w:lineRule="auto"/>
              <w:ind w:left="2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42" w:lineRule="auto"/>
              <w:ind w:left="127" w:right="117" w:firstLine="27"/>
              <w:jc w:val="both"/>
              <w:rPr>
                <w:b/>
                <w:bCs/>
              </w:rPr>
            </w:pPr>
            <w:r>
              <w:rPr>
                <w:b/>
                <w:bCs/>
                <w:spacing w:val="-12"/>
              </w:rPr>
              <w:t>田园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体验</w:t>
            </w:r>
          </w:p>
        </w:tc>
        <w:tc>
          <w:tcPr>
            <w:tcW w:w="2257" w:type="dxa"/>
            <w:vAlign w:val="top"/>
          </w:tcPr>
          <w:p>
            <w:pPr>
              <w:spacing w:line="295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2" w:lineRule="auto"/>
              <w:ind w:left="681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洞庭湖小镇</w:t>
            </w:r>
          </w:p>
        </w:tc>
        <w:tc>
          <w:tcPr>
            <w:tcW w:w="1943" w:type="dxa"/>
            <w:vAlign w:val="top"/>
          </w:tcPr>
          <w:p>
            <w:pPr>
              <w:spacing w:line="295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1" w:lineRule="auto"/>
              <w:ind w:left="22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南湖新区芷兰路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167" w:line="231" w:lineRule="auto"/>
              <w:ind w:left="188"/>
              <w:jc w:val="both"/>
              <w:rPr>
                <w:b/>
                <w:bCs/>
              </w:rPr>
            </w:pPr>
            <w:r>
              <w:rPr>
                <w:b/>
                <w:bCs/>
                <w:spacing w:val="9"/>
              </w:rPr>
              <w:t>文化体验、特色产业、农</w:t>
            </w:r>
          </w:p>
          <w:p>
            <w:pPr>
              <w:pStyle w:val="14"/>
              <w:spacing w:before="21" w:line="231" w:lineRule="auto"/>
              <w:ind w:left="188"/>
              <w:jc w:val="both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耕体验、</w:t>
            </w:r>
            <w:r>
              <w:rPr>
                <w:b/>
                <w:bCs/>
                <w:spacing w:val="-35"/>
              </w:rPr>
              <w:t xml:space="preserve"> </w:t>
            </w:r>
            <w:r>
              <w:rPr>
                <w:b/>
                <w:bCs/>
                <w:spacing w:val="3"/>
              </w:rPr>
              <w:t>自然科普、农业</w:t>
            </w:r>
          </w:p>
          <w:p>
            <w:pPr>
              <w:pStyle w:val="14"/>
              <w:spacing w:before="18" w:line="215" w:lineRule="auto"/>
              <w:ind w:left="588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观光、健康运动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99" w:line="231" w:lineRule="auto"/>
              <w:ind w:left="240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岳阳市研</w:t>
            </w:r>
          </w:p>
          <w:p>
            <w:pPr>
              <w:pStyle w:val="14"/>
              <w:spacing w:before="21" w:line="231" w:lineRule="auto"/>
              <w:ind w:left="247"/>
              <w:jc w:val="both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学实践教</w:t>
            </w:r>
          </w:p>
          <w:p>
            <w:pPr>
              <w:pStyle w:val="14"/>
              <w:spacing w:before="21" w:line="231" w:lineRule="auto"/>
              <w:ind w:left="345"/>
              <w:jc w:val="both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育基地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93" w:type="dxa"/>
            <w:vAlign w:val="top"/>
          </w:tcPr>
          <w:p>
            <w:pPr>
              <w:pStyle w:val="14"/>
              <w:spacing w:before="245" w:line="185" w:lineRule="auto"/>
              <w:ind w:left="20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14"/>
              <w:spacing w:before="79" w:line="242" w:lineRule="auto"/>
              <w:ind w:left="392" w:right="271" w:hanging="101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南湖新区畔湖湾小学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6"/>
              </w:rPr>
              <w:t>劳动教育实践基地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79" w:line="242" w:lineRule="auto"/>
              <w:ind w:left="843" w:right="108" w:hanging="715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 xml:space="preserve">南湖新区湿地公园 </w:t>
            </w:r>
            <w:r>
              <w:rPr>
                <w:b/>
                <w:bCs/>
              </w:rPr>
              <w:t>内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09" w:line="231" w:lineRule="auto"/>
              <w:ind w:left="198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劳动实践与课程体系</w:t>
            </w:r>
          </w:p>
          <w:p>
            <w:pPr>
              <w:pStyle w:val="14"/>
              <w:spacing w:before="209" w:line="231" w:lineRule="auto"/>
              <w:ind w:left="198"/>
              <w:jc w:val="center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结合</w:t>
            </w:r>
          </w:p>
        </w:tc>
        <w:tc>
          <w:tcPr>
            <w:tcW w:w="1258" w:type="dxa"/>
            <w:vAlign w:val="top"/>
          </w:tcPr>
          <w:p>
            <w:pPr>
              <w:pStyle w:val="14"/>
              <w:spacing w:before="79" w:line="242" w:lineRule="auto"/>
              <w:ind w:left="189" w:leftChars="90" w:right="228" w:firstLine="0" w:firstLineChars="0"/>
              <w:jc w:val="both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劳动教育</w:t>
            </w:r>
            <w:r>
              <w:rPr>
                <w:b/>
                <w:bCs/>
                <w:spacing w:val="5"/>
              </w:rPr>
              <w:t>实践基地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3" w:type="dxa"/>
            <w:vAlign w:val="top"/>
          </w:tcPr>
          <w:p>
            <w:pPr>
              <w:pStyle w:val="14"/>
              <w:spacing w:before="241" w:line="186" w:lineRule="auto"/>
              <w:ind w:left="2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46" w:lineRule="auto"/>
              <w:ind w:left="128" w:right="117" w:firstLine="4"/>
              <w:jc w:val="both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艺术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运动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45"/>
                <w:w w:val="125"/>
              </w:rPr>
              <w:t>类</w:t>
            </w:r>
          </w:p>
        </w:tc>
        <w:tc>
          <w:tcPr>
            <w:tcW w:w="2257" w:type="dxa"/>
            <w:vAlign w:val="top"/>
          </w:tcPr>
          <w:p>
            <w:pPr>
              <w:pStyle w:val="14"/>
              <w:spacing w:before="76"/>
              <w:ind w:left="782" w:right="271" w:hanging="502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洞庭湖文化艺术写生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6"/>
              </w:rPr>
              <w:t>创作基地</w:t>
            </w:r>
          </w:p>
        </w:tc>
        <w:tc>
          <w:tcPr>
            <w:tcW w:w="1943" w:type="dxa"/>
            <w:vAlign w:val="top"/>
          </w:tcPr>
          <w:p>
            <w:pPr>
              <w:pStyle w:val="14"/>
              <w:spacing w:before="74" w:line="242" w:lineRule="auto"/>
              <w:ind w:left="520" w:right="108" w:hanging="392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南湖新区芷兰路三 道湾区域</w:t>
            </w:r>
          </w:p>
        </w:tc>
        <w:tc>
          <w:tcPr>
            <w:tcW w:w="2427" w:type="dxa"/>
            <w:vAlign w:val="top"/>
          </w:tcPr>
          <w:p>
            <w:pPr>
              <w:pStyle w:val="14"/>
              <w:spacing w:before="207" w:line="229" w:lineRule="auto"/>
              <w:ind w:left="595"/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艺术体验及创作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before="62" w:line="242" w:lineRule="auto"/>
              <w:ind w:right="228" w:firstLine="203" w:firstLineChars="100"/>
              <w:jc w:val="center"/>
              <w:rPr>
                <w:b/>
                <w:bCs/>
                <w:spacing w:val="6"/>
              </w:rPr>
            </w:pPr>
          </w:p>
          <w:p>
            <w:pPr>
              <w:pStyle w:val="14"/>
              <w:spacing w:before="62" w:line="242" w:lineRule="auto"/>
              <w:ind w:right="228" w:firstLine="203" w:firstLineChars="100"/>
              <w:jc w:val="center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研学基地</w:t>
            </w:r>
            <w:r>
              <w:rPr>
                <w:b/>
                <w:bCs/>
                <w:spacing w:val="-4"/>
              </w:rPr>
              <w:t>申报中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93" w:type="dxa"/>
            <w:vAlign w:val="top"/>
          </w:tcPr>
          <w:p>
            <w:pPr>
              <w:spacing w:line="319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1" w:line="186" w:lineRule="auto"/>
              <w:ind w:left="2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spacing w:line="285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1" w:line="231" w:lineRule="auto"/>
              <w:ind w:left="392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南湖水上运动中心</w:t>
            </w:r>
          </w:p>
        </w:tc>
        <w:tc>
          <w:tcPr>
            <w:tcW w:w="1943" w:type="dxa"/>
            <w:vAlign w:val="top"/>
          </w:tcPr>
          <w:p>
            <w:pPr>
              <w:spacing w:line="284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2" w:lineRule="auto"/>
              <w:ind w:left="228"/>
              <w:jc w:val="both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南湖麦子港码头</w:t>
            </w:r>
          </w:p>
        </w:tc>
        <w:tc>
          <w:tcPr>
            <w:tcW w:w="2427" w:type="dxa"/>
            <w:vAlign w:val="top"/>
          </w:tcPr>
          <w:p>
            <w:pPr>
              <w:spacing w:line="284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14"/>
              <w:spacing w:before="62" w:line="232" w:lineRule="auto"/>
              <w:ind w:left="288"/>
              <w:jc w:val="both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水上运动综合文旅业态</w:t>
            </w: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jc w:val="righ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TdhZDlkNWI5YzJkYmMwNjUzNjVjMDg3NDY3OWEifQ=="/>
    <w:docVar w:name="KSO_WPS_MARK_KEY" w:val="559595ac-0faf-40fa-bc3c-357f3d81f14f"/>
  </w:docVars>
  <w:rsids>
    <w:rsidRoot w:val="00000000"/>
    <w:rsid w:val="000B4093"/>
    <w:rsid w:val="008A013C"/>
    <w:rsid w:val="020A2568"/>
    <w:rsid w:val="02575B48"/>
    <w:rsid w:val="02E334E5"/>
    <w:rsid w:val="0431202E"/>
    <w:rsid w:val="062434B3"/>
    <w:rsid w:val="091C32AD"/>
    <w:rsid w:val="0BB134E6"/>
    <w:rsid w:val="0C6F7B97"/>
    <w:rsid w:val="0D4B16DA"/>
    <w:rsid w:val="1006130B"/>
    <w:rsid w:val="10125409"/>
    <w:rsid w:val="10A2429A"/>
    <w:rsid w:val="12062D4C"/>
    <w:rsid w:val="124038AC"/>
    <w:rsid w:val="129C545E"/>
    <w:rsid w:val="12F57891"/>
    <w:rsid w:val="133C1110"/>
    <w:rsid w:val="15B37DBC"/>
    <w:rsid w:val="17DB4333"/>
    <w:rsid w:val="18E830B6"/>
    <w:rsid w:val="1A437567"/>
    <w:rsid w:val="1A6B5DA4"/>
    <w:rsid w:val="1BB003CA"/>
    <w:rsid w:val="1BBC7F9C"/>
    <w:rsid w:val="1C5D5C5E"/>
    <w:rsid w:val="1CEB6DC6"/>
    <w:rsid w:val="1EB51D82"/>
    <w:rsid w:val="1FDC50EC"/>
    <w:rsid w:val="201956D2"/>
    <w:rsid w:val="240E7E6B"/>
    <w:rsid w:val="25153F44"/>
    <w:rsid w:val="265C6F87"/>
    <w:rsid w:val="278C564A"/>
    <w:rsid w:val="285C73F5"/>
    <w:rsid w:val="296F0D7F"/>
    <w:rsid w:val="2A7906F2"/>
    <w:rsid w:val="2B006133"/>
    <w:rsid w:val="2B593A95"/>
    <w:rsid w:val="2E051CB2"/>
    <w:rsid w:val="2E241154"/>
    <w:rsid w:val="2E9A4AF0"/>
    <w:rsid w:val="2F990904"/>
    <w:rsid w:val="30017091"/>
    <w:rsid w:val="30E67B79"/>
    <w:rsid w:val="311C6FE2"/>
    <w:rsid w:val="32BB5035"/>
    <w:rsid w:val="33C70135"/>
    <w:rsid w:val="345E036E"/>
    <w:rsid w:val="35237767"/>
    <w:rsid w:val="373F3D3B"/>
    <w:rsid w:val="382F44FB"/>
    <w:rsid w:val="38341B11"/>
    <w:rsid w:val="389B73F1"/>
    <w:rsid w:val="38BF34F8"/>
    <w:rsid w:val="39333B77"/>
    <w:rsid w:val="39B32A88"/>
    <w:rsid w:val="3AAD1707"/>
    <w:rsid w:val="3C52676C"/>
    <w:rsid w:val="3F516B05"/>
    <w:rsid w:val="42705EBE"/>
    <w:rsid w:val="42E859D2"/>
    <w:rsid w:val="489108BA"/>
    <w:rsid w:val="48CC544E"/>
    <w:rsid w:val="48E00EFA"/>
    <w:rsid w:val="4BCB7C3F"/>
    <w:rsid w:val="4C973B26"/>
    <w:rsid w:val="4D0F7FFF"/>
    <w:rsid w:val="4FC866FB"/>
    <w:rsid w:val="5078179A"/>
    <w:rsid w:val="50E31747"/>
    <w:rsid w:val="51662F19"/>
    <w:rsid w:val="51BA31D3"/>
    <w:rsid w:val="52643B30"/>
    <w:rsid w:val="52F42171"/>
    <w:rsid w:val="52F76CF8"/>
    <w:rsid w:val="55FE085D"/>
    <w:rsid w:val="564F4B95"/>
    <w:rsid w:val="57AA1F7E"/>
    <w:rsid w:val="595F1126"/>
    <w:rsid w:val="59BD25AD"/>
    <w:rsid w:val="5A241579"/>
    <w:rsid w:val="5B895766"/>
    <w:rsid w:val="5D30766A"/>
    <w:rsid w:val="5D3A0B4D"/>
    <w:rsid w:val="5DFD7455"/>
    <w:rsid w:val="6035014F"/>
    <w:rsid w:val="60A056E7"/>
    <w:rsid w:val="60E90E3C"/>
    <w:rsid w:val="611B6B1B"/>
    <w:rsid w:val="61CC6F1A"/>
    <w:rsid w:val="62EB1054"/>
    <w:rsid w:val="65E50B86"/>
    <w:rsid w:val="66396F2C"/>
    <w:rsid w:val="666176C6"/>
    <w:rsid w:val="6CCE2837"/>
    <w:rsid w:val="6D2948EC"/>
    <w:rsid w:val="70A61D0B"/>
    <w:rsid w:val="712E63F7"/>
    <w:rsid w:val="71B3346C"/>
    <w:rsid w:val="74E8777F"/>
    <w:rsid w:val="7739366B"/>
    <w:rsid w:val="77BC29AE"/>
    <w:rsid w:val="77DD6EF2"/>
    <w:rsid w:val="780E4529"/>
    <w:rsid w:val="78743289"/>
    <w:rsid w:val="78A73B55"/>
    <w:rsid w:val="78B85691"/>
    <w:rsid w:val="797239A8"/>
    <w:rsid w:val="7AB763C0"/>
    <w:rsid w:val="7CB22B7B"/>
    <w:rsid w:val="7CBC51FE"/>
    <w:rsid w:val="7D1C4A4C"/>
    <w:rsid w:val="7D6864BE"/>
    <w:rsid w:val="7E7B0DF9"/>
    <w:rsid w:val="7EA164E2"/>
    <w:rsid w:val="7FC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20" w:firstLineChars="182"/>
    </w:pPr>
    <w:rPr>
      <w:sz w:val="24"/>
    </w:rPr>
  </w:style>
  <w:style w:type="paragraph" w:styleId="4">
    <w:name w:val="Body Text Indent 2"/>
    <w:basedOn w:val="1"/>
    <w:qFormat/>
    <w:uiPriority w:val="0"/>
    <w:pPr>
      <w:tabs>
        <w:tab w:val="left" w:pos="0"/>
      </w:tabs>
      <w:snapToGrid w:val="0"/>
      <w:spacing w:line="380" w:lineRule="exact"/>
      <w:ind w:firstLine="560"/>
    </w:pPr>
    <w:rPr>
      <w:rFonts w:ascii="Times New Roman" w:hAnsi="Times New Roman" w:eastAsia="方正仿宋_GB2312" w:cs="Times New Roman"/>
      <w:kern w:val="0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cs="Times New Roman"/>
      <w:kern w:val="2"/>
      <w:sz w:val="21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customStyle="1" w:styleId="12">
    <w:name w:val="XBT"/>
    <w:basedOn w:val="13"/>
    <w:qFormat/>
    <w:uiPriority w:val="0"/>
    <w:pPr>
      <w:spacing w:before="600" w:after="240"/>
      <w:ind w:right="0"/>
    </w:pPr>
    <w:rPr>
      <w:spacing w:val="0"/>
      <w:sz w:val="24"/>
    </w:rPr>
  </w:style>
  <w:style w:type="paragraph" w:customStyle="1" w:styleId="13">
    <w:name w:val="小标题"/>
    <w:basedOn w:val="1"/>
    <w:qFormat/>
    <w:uiPriority w:val="0"/>
    <w:pPr>
      <w:adjustRightInd w:val="0"/>
      <w:spacing w:before="360" w:after="360" w:line="440" w:lineRule="atLeast"/>
      <w:ind w:right="239"/>
      <w:textAlignment w:val="baseline"/>
    </w:pPr>
    <w:rPr>
      <w:rFonts w:ascii="Arial Narrow" w:hAnsi="Arial Narrow" w:eastAsia="黑体"/>
      <w:b/>
      <w:spacing w:val="8"/>
      <w:sz w:val="32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1243</Characters>
  <Lines>0</Lines>
  <Paragraphs>0</Paragraphs>
  <TotalTime>2</TotalTime>
  <ScaleCrop>false</ScaleCrop>
  <LinksUpToDate>false</LinksUpToDate>
  <CharactersWithSpaces>1301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2022-12-27T07:39:00Z</dcterms:created>
  <dc:creator>Administrator</dc:creator>
  <cp:lastModifiedBy>WPS_1639380840</cp:lastModifiedBy>
  <dcterms:modified xsi:type="dcterms:W3CDTF">2023-10-31T03:25:29Z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D9D05BFECC334E9B81F39ABD8BEC48FA</vt:lpwstr>
  </property>
</Properties>
</file>